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DA7F4" w14:textId="4CE16992" w:rsidR="00DC6245" w:rsidRPr="00DC6245" w:rsidRDefault="00DC6245" w:rsidP="00DC6245">
      <w:pPr>
        <w:spacing w:line="360" w:lineRule="auto"/>
        <w:rPr>
          <w:rFonts w:asciiTheme="majorHAnsi" w:hAnsiTheme="majorHAnsi"/>
          <w:b/>
          <w:bCs/>
        </w:rPr>
      </w:pPr>
      <w:r w:rsidRPr="00B618E6">
        <w:rPr>
          <w:rFonts w:asciiTheme="majorHAnsi" w:hAnsiTheme="majorHAnsi"/>
          <w:b/>
          <w:bCs/>
          <w:sz w:val="56"/>
          <w:szCs w:val="56"/>
        </w:rPr>
        <w:t>Von Brötchentüte bis Tortenkarton</w:t>
      </w:r>
      <w:r w:rsidRPr="00DC6245">
        <w:rPr>
          <w:rFonts w:asciiTheme="majorHAnsi" w:hAnsiTheme="majorHAnsi"/>
          <w:b/>
          <w:bCs/>
        </w:rPr>
        <w:br/>
      </w:r>
      <w:r w:rsidR="00B618E6">
        <w:rPr>
          <w:rFonts w:asciiTheme="majorHAnsi" w:hAnsiTheme="majorHAnsi"/>
          <w:b/>
          <w:bCs/>
        </w:rPr>
        <w:t>Wer Verpackungen aus der Bäckerei richtig trennt, schont Umwelt und Ressourcen</w:t>
      </w:r>
    </w:p>
    <w:p w14:paraId="2A312CC9" w14:textId="5B75AFAD" w:rsidR="00DC6245" w:rsidRPr="006401AB" w:rsidRDefault="006401AB" w:rsidP="00DC6245">
      <w:pPr>
        <w:spacing w:line="360" w:lineRule="auto"/>
        <w:rPr>
          <w:rFonts w:asciiTheme="majorHAnsi" w:hAnsiTheme="majorHAnsi"/>
        </w:rPr>
      </w:pPr>
      <w:r w:rsidRPr="006401AB">
        <w:rPr>
          <w:rFonts w:asciiTheme="majorHAnsi" w:hAnsiTheme="majorHAnsi"/>
        </w:rPr>
        <w:t>Von Ulf-Stefan Dahmen (Rheinische Anzeigenblätter)</w:t>
      </w:r>
    </w:p>
    <w:p w14:paraId="3B8FD923" w14:textId="2C27F7F8" w:rsidR="00DC6245" w:rsidRPr="00DC6245" w:rsidRDefault="00DC6245" w:rsidP="00DC6245">
      <w:pPr>
        <w:spacing w:line="360" w:lineRule="auto"/>
        <w:rPr>
          <w:rFonts w:asciiTheme="majorHAnsi" w:hAnsiTheme="majorHAnsi"/>
        </w:rPr>
      </w:pPr>
      <w:r>
        <w:rPr>
          <w:rFonts w:asciiTheme="majorHAnsi" w:hAnsiTheme="majorHAnsi"/>
          <w:b/>
          <w:bCs/>
        </w:rPr>
        <w:t>Sie g</w:t>
      </w:r>
      <w:r w:rsidRPr="00DC6245">
        <w:rPr>
          <w:rFonts w:asciiTheme="majorHAnsi" w:hAnsiTheme="majorHAnsi"/>
          <w:b/>
          <w:bCs/>
        </w:rPr>
        <w:t>ehören zum Alltag: Bäckereiverpackungen wie Brötchentüten oder „Coffee-</w:t>
      </w:r>
      <w:proofErr w:type="spellStart"/>
      <w:r w:rsidRPr="00DC6245">
        <w:rPr>
          <w:rFonts w:asciiTheme="majorHAnsi" w:hAnsiTheme="majorHAnsi"/>
          <w:b/>
          <w:bCs/>
        </w:rPr>
        <w:t>to</w:t>
      </w:r>
      <w:proofErr w:type="spellEnd"/>
      <w:r w:rsidRPr="00DC6245">
        <w:rPr>
          <w:rFonts w:asciiTheme="majorHAnsi" w:hAnsiTheme="majorHAnsi"/>
          <w:b/>
          <w:bCs/>
        </w:rPr>
        <w:t>-</w:t>
      </w:r>
      <w:proofErr w:type="spellStart"/>
      <w:r w:rsidRPr="00DC6245">
        <w:rPr>
          <w:rFonts w:asciiTheme="majorHAnsi" w:hAnsiTheme="majorHAnsi"/>
          <w:b/>
          <w:bCs/>
        </w:rPr>
        <w:t>go</w:t>
      </w:r>
      <w:proofErr w:type="spellEnd"/>
      <w:r w:rsidRPr="00DC6245">
        <w:rPr>
          <w:rFonts w:asciiTheme="majorHAnsi" w:hAnsiTheme="majorHAnsi"/>
          <w:b/>
          <w:bCs/>
        </w:rPr>
        <w:t xml:space="preserve">“-Becher. </w:t>
      </w:r>
      <w:r>
        <w:rPr>
          <w:rFonts w:asciiTheme="majorHAnsi" w:hAnsiTheme="majorHAnsi"/>
          <w:b/>
          <w:bCs/>
        </w:rPr>
        <w:t>D</w:t>
      </w:r>
      <w:r w:rsidRPr="00DC6245">
        <w:rPr>
          <w:rFonts w:asciiTheme="majorHAnsi" w:hAnsiTheme="majorHAnsi"/>
          <w:b/>
          <w:bCs/>
        </w:rPr>
        <w:t>er Verbrauch ist groß – und ein nachhaltiger Umgang mit diesen Verpackungen daher umso wichtiger. Die Initiative „Mülltrennung wirkt“ erklärt, wie Abfälle aus der Bäckerei richtig entsorgt werden, zum Erhalt von Ressourcen und zum Schutz von Klima und Umwelt.</w:t>
      </w:r>
    </w:p>
    <w:p w14:paraId="1889DD72" w14:textId="77777777" w:rsidR="00DC6245" w:rsidRPr="00DC6245" w:rsidRDefault="00DC6245" w:rsidP="00DC6245">
      <w:pPr>
        <w:spacing w:line="360" w:lineRule="auto"/>
        <w:rPr>
          <w:rFonts w:asciiTheme="majorHAnsi" w:hAnsiTheme="majorHAnsi"/>
        </w:rPr>
      </w:pPr>
    </w:p>
    <w:p w14:paraId="7C012E0F" w14:textId="6AB5E3E8" w:rsidR="00DC6245" w:rsidRPr="00DC6245" w:rsidRDefault="00DC6245" w:rsidP="00DC6245">
      <w:pPr>
        <w:spacing w:line="360" w:lineRule="auto"/>
        <w:rPr>
          <w:rFonts w:asciiTheme="majorHAnsi" w:hAnsiTheme="majorHAnsi"/>
        </w:rPr>
      </w:pPr>
      <w:r w:rsidRPr="00DC6245">
        <w:rPr>
          <w:rFonts w:asciiTheme="majorHAnsi" w:hAnsiTheme="majorHAnsi"/>
        </w:rPr>
        <w:t>Ein knuspriges Brötchen, dazu vielleicht ein heißer „Coffee-</w:t>
      </w:r>
      <w:proofErr w:type="spellStart"/>
      <w:r w:rsidRPr="00DC6245">
        <w:rPr>
          <w:rFonts w:asciiTheme="majorHAnsi" w:hAnsiTheme="majorHAnsi"/>
        </w:rPr>
        <w:t>to</w:t>
      </w:r>
      <w:proofErr w:type="spellEnd"/>
      <w:r w:rsidRPr="00DC6245">
        <w:rPr>
          <w:rFonts w:asciiTheme="majorHAnsi" w:hAnsiTheme="majorHAnsi"/>
        </w:rPr>
        <w:t>-</w:t>
      </w:r>
      <w:proofErr w:type="spellStart"/>
      <w:r w:rsidRPr="00DC6245">
        <w:rPr>
          <w:rFonts w:asciiTheme="majorHAnsi" w:hAnsiTheme="majorHAnsi"/>
        </w:rPr>
        <w:t>go</w:t>
      </w:r>
      <w:proofErr w:type="spellEnd"/>
      <w:r w:rsidRPr="00DC6245">
        <w:rPr>
          <w:rFonts w:asciiTheme="majorHAnsi" w:hAnsiTheme="majorHAnsi"/>
        </w:rPr>
        <w:t xml:space="preserve">“ aus der Bäckerei – das gehört für viele zu einem guten Start in den Tag. Sonntags gönnen sich </w:t>
      </w:r>
      <w:r>
        <w:rPr>
          <w:rFonts w:asciiTheme="majorHAnsi" w:hAnsiTheme="majorHAnsi"/>
        </w:rPr>
        <w:t>viele</w:t>
      </w:r>
      <w:r w:rsidRPr="00DC6245">
        <w:rPr>
          <w:rFonts w:asciiTheme="majorHAnsi" w:hAnsiTheme="majorHAnsi"/>
        </w:rPr>
        <w:t xml:space="preserve"> eine Tüte warmer Croissants zum Frühstück und für den Nachmittagskaffee ein paar leckere Stücke Kuchen. War eigentlich noch genug Brot fürs Abendessen da? Damit Bäckereieinkäufe frisch und unversehrt bleiben, werden sie gut verpackt, meistens in Einwegtüten aus Papier. </w:t>
      </w:r>
      <w:r>
        <w:rPr>
          <w:rFonts w:asciiTheme="majorHAnsi" w:hAnsiTheme="majorHAnsi"/>
        </w:rPr>
        <w:t>Das ist p</w:t>
      </w:r>
      <w:r w:rsidRPr="00DC6245">
        <w:rPr>
          <w:rFonts w:asciiTheme="majorHAnsi" w:hAnsiTheme="majorHAnsi"/>
        </w:rPr>
        <w:t>raktisch –</w:t>
      </w:r>
      <w:r w:rsidR="006401AB">
        <w:rPr>
          <w:rFonts w:asciiTheme="majorHAnsi" w:hAnsiTheme="majorHAnsi"/>
        </w:rPr>
        <w:t xml:space="preserve"> </w:t>
      </w:r>
      <w:r w:rsidRPr="00DC6245">
        <w:rPr>
          <w:rFonts w:asciiTheme="majorHAnsi" w:hAnsiTheme="majorHAnsi"/>
        </w:rPr>
        <w:t xml:space="preserve">der Verbrauch </w:t>
      </w:r>
      <w:r>
        <w:rPr>
          <w:rFonts w:asciiTheme="majorHAnsi" w:hAnsiTheme="majorHAnsi"/>
        </w:rPr>
        <w:t xml:space="preserve">an solchen Tüten </w:t>
      </w:r>
      <w:r w:rsidRPr="00DC6245">
        <w:rPr>
          <w:rFonts w:asciiTheme="majorHAnsi" w:hAnsiTheme="majorHAnsi"/>
        </w:rPr>
        <w:t xml:space="preserve">ist </w:t>
      </w:r>
      <w:r>
        <w:rPr>
          <w:rFonts w:asciiTheme="majorHAnsi" w:hAnsiTheme="majorHAnsi"/>
        </w:rPr>
        <w:t xml:space="preserve">allerdings </w:t>
      </w:r>
      <w:r w:rsidRPr="00DC6245">
        <w:rPr>
          <w:rFonts w:asciiTheme="majorHAnsi" w:hAnsiTheme="majorHAnsi"/>
        </w:rPr>
        <w:t xml:space="preserve">groß: Insgesamt rund 4,5 Milliarden Einwegtüten sind es </w:t>
      </w:r>
      <w:r>
        <w:rPr>
          <w:rFonts w:asciiTheme="majorHAnsi" w:hAnsiTheme="majorHAnsi"/>
        </w:rPr>
        <w:t>nach</w:t>
      </w:r>
      <w:r w:rsidRPr="00DC6245">
        <w:rPr>
          <w:rFonts w:asciiTheme="majorHAnsi" w:hAnsiTheme="majorHAnsi"/>
        </w:rPr>
        <w:t xml:space="preserve"> einer Studie der Gesellschaft für Verpackungsmarktforschung (GVM, 2021) im Auftrag des NABU (Naturschutzbund Deutschland e.</w:t>
      </w:r>
      <w:r w:rsidR="006401AB">
        <w:t> </w:t>
      </w:r>
      <w:r w:rsidRPr="00DC6245">
        <w:rPr>
          <w:rFonts w:asciiTheme="majorHAnsi" w:hAnsiTheme="majorHAnsi"/>
        </w:rPr>
        <w:t>V.). Und der „Coffee-</w:t>
      </w:r>
      <w:proofErr w:type="spellStart"/>
      <w:r w:rsidRPr="00DC6245">
        <w:rPr>
          <w:rFonts w:asciiTheme="majorHAnsi" w:hAnsiTheme="majorHAnsi"/>
        </w:rPr>
        <w:t>to</w:t>
      </w:r>
      <w:proofErr w:type="spellEnd"/>
      <w:r w:rsidRPr="00DC6245">
        <w:rPr>
          <w:rFonts w:asciiTheme="majorHAnsi" w:hAnsiTheme="majorHAnsi"/>
        </w:rPr>
        <w:t>-</w:t>
      </w:r>
      <w:proofErr w:type="spellStart"/>
      <w:r w:rsidRPr="00DC6245">
        <w:rPr>
          <w:rFonts w:asciiTheme="majorHAnsi" w:hAnsiTheme="majorHAnsi"/>
        </w:rPr>
        <w:t>go</w:t>
      </w:r>
      <w:proofErr w:type="spellEnd"/>
      <w:r w:rsidRPr="00DC6245">
        <w:rPr>
          <w:rFonts w:asciiTheme="majorHAnsi" w:hAnsiTheme="majorHAnsi"/>
        </w:rPr>
        <w:t>“-Becher für unterwegs? Davon werden nach Angaben des Bundesumweltministeriums rund 140.000 verbraucht – stündlich.</w:t>
      </w:r>
    </w:p>
    <w:p w14:paraId="5450F8DF" w14:textId="69EC19BE" w:rsidR="00DC6245" w:rsidRPr="00DC6245" w:rsidRDefault="00DC6245" w:rsidP="00DC6245">
      <w:pPr>
        <w:spacing w:line="360" w:lineRule="auto"/>
        <w:rPr>
          <w:rFonts w:asciiTheme="majorHAnsi" w:hAnsiTheme="majorHAnsi"/>
        </w:rPr>
      </w:pPr>
      <w:r w:rsidRPr="00DC6245">
        <w:rPr>
          <w:rFonts w:asciiTheme="majorHAnsi" w:hAnsiTheme="majorHAnsi"/>
          <w:b/>
          <w:bCs/>
        </w:rPr>
        <w:t>„Die gute Nachricht: Einwegverpackungen können recycelt werden. Papiertüten werden zum Beispiel zu neuen Papierprodukten verarbeitet “</w:t>
      </w:r>
      <w:r w:rsidR="001A12D5">
        <w:rPr>
          <w:rFonts w:asciiTheme="majorHAnsi" w:hAnsiTheme="majorHAnsi"/>
          <w:b/>
          <w:bCs/>
        </w:rPr>
        <w:t>,</w:t>
      </w:r>
      <w:r w:rsidRPr="00DC6245">
        <w:rPr>
          <w:rFonts w:asciiTheme="majorHAnsi" w:hAnsiTheme="majorHAnsi"/>
        </w:rPr>
        <w:t xml:space="preserve"> erklärt Axel Subklew, Sprecher der Initiative „Mülltrennung wirkt“</w:t>
      </w:r>
      <w:r>
        <w:rPr>
          <w:rFonts w:asciiTheme="majorHAnsi" w:hAnsiTheme="majorHAnsi"/>
        </w:rPr>
        <w:t xml:space="preserve">. </w:t>
      </w:r>
      <w:r w:rsidRPr="00DC6245">
        <w:rPr>
          <w:rFonts w:asciiTheme="majorHAnsi" w:hAnsiTheme="majorHAnsi"/>
        </w:rPr>
        <w:t xml:space="preserve"> Bis zu 25-mal können Papierfasern recycelt werden. </w:t>
      </w:r>
      <w:r w:rsidRPr="00DC6245">
        <w:rPr>
          <w:rFonts w:asciiTheme="majorHAnsi" w:hAnsiTheme="majorHAnsi"/>
          <w:b/>
          <w:bCs/>
        </w:rPr>
        <w:t>„Das spart wertvolle Rohstoffe wie Holz und Wasser, senkt den Energieverbrauch und reduziert klimaschädliches CO</w:t>
      </w:r>
      <w:r w:rsidRPr="00DC6245">
        <w:rPr>
          <w:rFonts w:asciiTheme="majorHAnsi" w:hAnsiTheme="majorHAnsi"/>
          <w:b/>
          <w:bCs/>
          <w:vertAlign w:val="subscript"/>
        </w:rPr>
        <w:t>2</w:t>
      </w:r>
      <w:r w:rsidRPr="00DC6245">
        <w:rPr>
          <w:rFonts w:asciiTheme="majorHAnsi" w:hAnsiTheme="majorHAnsi"/>
          <w:b/>
          <w:bCs/>
        </w:rPr>
        <w:t>“</w:t>
      </w:r>
      <w:r w:rsidR="001A12D5">
        <w:rPr>
          <w:rFonts w:asciiTheme="majorHAnsi" w:hAnsiTheme="majorHAnsi"/>
          <w:b/>
          <w:bCs/>
        </w:rPr>
        <w:t>,</w:t>
      </w:r>
      <w:r>
        <w:rPr>
          <w:rFonts w:asciiTheme="majorHAnsi" w:hAnsiTheme="majorHAnsi"/>
          <w:b/>
          <w:bCs/>
        </w:rPr>
        <w:t xml:space="preserve"> </w:t>
      </w:r>
      <w:r>
        <w:rPr>
          <w:rFonts w:asciiTheme="majorHAnsi" w:hAnsiTheme="majorHAnsi"/>
        </w:rPr>
        <w:t xml:space="preserve">beschreibt Subklew die positive Wirkung </w:t>
      </w:r>
      <w:r w:rsidR="00B618E6">
        <w:rPr>
          <w:rFonts w:asciiTheme="majorHAnsi" w:hAnsiTheme="majorHAnsi"/>
        </w:rPr>
        <w:t>des</w:t>
      </w:r>
      <w:r>
        <w:rPr>
          <w:rFonts w:asciiTheme="majorHAnsi" w:hAnsiTheme="majorHAnsi"/>
        </w:rPr>
        <w:t xml:space="preserve"> </w:t>
      </w:r>
      <w:r w:rsidR="00B618E6">
        <w:rPr>
          <w:rFonts w:asciiTheme="majorHAnsi" w:hAnsiTheme="majorHAnsi"/>
        </w:rPr>
        <w:t>Papierr</w:t>
      </w:r>
      <w:r>
        <w:rPr>
          <w:rFonts w:asciiTheme="majorHAnsi" w:hAnsiTheme="majorHAnsi"/>
        </w:rPr>
        <w:t>ecycling</w:t>
      </w:r>
      <w:r w:rsidR="00B618E6">
        <w:rPr>
          <w:rFonts w:asciiTheme="majorHAnsi" w:hAnsiTheme="majorHAnsi"/>
        </w:rPr>
        <w:t>s</w:t>
      </w:r>
      <w:r>
        <w:rPr>
          <w:rFonts w:asciiTheme="majorHAnsi" w:hAnsiTheme="majorHAnsi"/>
        </w:rPr>
        <w:t>.</w:t>
      </w:r>
      <w:r w:rsidRPr="00DC6245">
        <w:rPr>
          <w:rFonts w:asciiTheme="majorHAnsi" w:hAnsiTheme="majorHAnsi"/>
        </w:rPr>
        <w:t xml:space="preserve"> Damit Recyclingkreisläufe wie dieser wirklich funktionieren, müssen Verpackungen richtig getrennt werden:</w:t>
      </w:r>
    </w:p>
    <w:p w14:paraId="416873EE" w14:textId="77777777" w:rsidR="00DC6245" w:rsidRPr="00DC6245" w:rsidRDefault="00DC6245" w:rsidP="00DC6245">
      <w:pPr>
        <w:spacing w:line="360" w:lineRule="auto"/>
        <w:rPr>
          <w:rFonts w:asciiTheme="majorHAnsi" w:hAnsiTheme="majorHAnsi"/>
        </w:rPr>
      </w:pPr>
    </w:p>
    <w:p w14:paraId="5F344109" w14:textId="77777777" w:rsidR="00DC6245" w:rsidRPr="00DC6245" w:rsidRDefault="00DC6245" w:rsidP="00DC6245">
      <w:pPr>
        <w:spacing w:line="360" w:lineRule="auto"/>
        <w:rPr>
          <w:rFonts w:asciiTheme="majorHAnsi" w:hAnsiTheme="majorHAnsi"/>
          <w:b/>
          <w:bCs/>
        </w:rPr>
      </w:pPr>
      <w:r w:rsidRPr="00DC6245">
        <w:rPr>
          <w:rFonts w:asciiTheme="majorHAnsi" w:hAnsiTheme="majorHAnsi"/>
          <w:b/>
          <w:bCs/>
        </w:rPr>
        <w:t>Brötchentüte – ein Fall fürs Altpapier?</w:t>
      </w:r>
    </w:p>
    <w:p w14:paraId="72AFCC5C" w14:textId="77777777" w:rsidR="00DC6245" w:rsidRPr="00DC6245" w:rsidRDefault="00DC6245" w:rsidP="00DC6245">
      <w:pPr>
        <w:spacing w:line="360" w:lineRule="auto"/>
        <w:rPr>
          <w:rFonts w:asciiTheme="majorHAnsi" w:hAnsiTheme="majorHAnsi"/>
        </w:rPr>
      </w:pPr>
      <w:r w:rsidRPr="00DC6245">
        <w:rPr>
          <w:rFonts w:asciiTheme="majorHAnsi" w:hAnsiTheme="majorHAnsi"/>
        </w:rPr>
        <w:t xml:space="preserve">Gebrauchte Papiertüten für Brot oder Brötchen dürfen in die Altpapiertonne. Haben sie ein transparentes Sichtfenster, ist es optimal fürs Recycling, wenn Papier und Folie voneinander getrennt entsorgt werden. Das Papier kommt ins Altpapier, die Folie in die Gelbe Tonne oder den Gelben Sack. So können beide Materialien besser sortiert und recycelt werden. Auch leere Kunststofftüten, zum Beispiel für geschnittenes Brot, gehören in die Gelbe Tonne oder den Gelben Sack – ebenso wie </w:t>
      </w:r>
      <w:r w:rsidRPr="00DC6245">
        <w:rPr>
          <w:rFonts w:asciiTheme="majorHAnsi" w:hAnsiTheme="majorHAnsi"/>
        </w:rPr>
        <w:lastRenderedPageBreak/>
        <w:t>Aluminiumfolie etwa von abgepacktem Schwarzbrot. Wichtig ist: Ob aus Papier oder Kunststoff, die Tüte darf bei ihrer Entsorgung keine Reste mehr enthalten.</w:t>
      </w:r>
    </w:p>
    <w:p w14:paraId="5D3FDA4F" w14:textId="01F581B6" w:rsidR="00DC6245" w:rsidRPr="00DC6245" w:rsidRDefault="00DC6245" w:rsidP="00DC6245">
      <w:pPr>
        <w:spacing w:line="360" w:lineRule="auto"/>
        <w:rPr>
          <w:rFonts w:asciiTheme="majorHAnsi" w:hAnsiTheme="majorHAnsi"/>
        </w:rPr>
      </w:pPr>
      <w:r w:rsidRPr="00DC6245">
        <w:rPr>
          <w:rFonts w:asciiTheme="majorHAnsi" w:hAnsiTheme="majorHAnsi"/>
        </w:rPr>
        <w:t>Papiertüten, wie zum Beispiel größere Papiertragetaschen, lassen sich</w:t>
      </w:r>
      <w:r w:rsidR="00B618E6">
        <w:rPr>
          <w:rFonts w:asciiTheme="majorHAnsi" w:hAnsiTheme="majorHAnsi"/>
        </w:rPr>
        <w:t xml:space="preserve"> sehr gut </w:t>
      </w:r>
      <w:r w:rsidRPr="00DC6245">
        <w:rPr>
          <w:rFonts w:asciiTheme="majorHAnsi" w:hAnsiTheme="majorHAnsi"/>
        </w:rPr>
        <w:t>wiederverwenden. Sind sie nicht mehr nutzbar, kommen sie in</w:t>
      </w:r>
      <w:r w:rsidR="00B618E6">
        <w:rPr>
          <w:rFonts w:asciiTheme="majorHAnsi" w:hAnsiTheme="majorHAnsi"/>
        </w:rPr>
        <w:t>s</w:t>
      </w:r>
      <w:r w:rsidRPr="00DC6245">
        <w:rPr>
          <w:rFonts w:asciiTheme="majorHAnsi" w:hAnsiTheme="majorHAnsi"/>
        </w:rPr>
        <w:t xml:space="preserve"> Altpapier.</w:t>
      </w:r>
    </w:p>
    <w:p w14:paraId="75A6F052" w14:textId="77777777" w:rsidR="00DC6245" w:rsidRPr="00DC6245" w:rsidRDefault="00DC6245" w:rsidP="00DC6245">
      <w:pPr>
        <w:spacing w:line="360" w:lineRule="auto"/>
        <w:rPr>
          <w:rFonts w:asciiTheme="majorHAnsi" w:hAnsiTheme="majorHAnsi"/>
        </w:rPr>
      </w:pPr>
    </w:p>
    <w:p w14:paraId="205E8203" w14:textId="77777777" w:rsidR="00DC6245" w:rsidRPr="00DC6245" w:rsidRDefault="00DC6245" w:rsidP="00DC6245">
      <w:pPr>
        <w:spacing w:line="360" w:lineRule="auto"/>
        <w:rPr>
          <w:rFonts w:asciiTheme="majorHAnsi" w:hAnsiTheme="majorHAnsi"/>
          <w:b/>
          <w:bCs/>
        </w:rPr>
      </w:pPr>
      <w:r w:rsidRPr="00DC6245">
        <w:rPr>
          <w:rFonts w:asciiTheme="majorHAnsi" w:hAnsiTheme="majorHAnsi"/>
          <w:b/>
          <w:bCs/>
        </w:rPr>
        <w:t>Aus Pappe oder nicht? „Coffee-</w:t>
      </w:r>
      <w:proofErr w:type="spellStart"/>
      <w:r w:rsidRPr="00DC6245">
        <w:rPr>
          <w:rFonts w:asciiTheme="majorHAnsi" w:hAnsiTheme="majorHAnsi"/>
          <w:b/>
          <w:bCs/>
        </w:rPr>
        <w:t>to</w:t>
      </w:r>
      <w:proofErr w:type="spellEnd"/>
      <w:r w:rsidRPr="00DC6245">
        <w:rPr>
          <w:rFonts w:asciiTheme="majorHAnsi" w:hAnsiTheme="majorHAnsi"/>
          <w:b/>
          <w:bCs/>
        </w:rPr>
        <w:t>-</w:t>
      </w:r>
      <w:proofErr w:type="spellStart"/>
      <w:r w:rsidRPr="00DC6245">
        <w:rPr>
          <w:rFonts w:asciiTheme="majorHAnsi" w:hAnsiTheme="majorHAnsi"/>
          <w:b/>
          <w:bCs/>
        </w:rPr>
        <w:t>go</w:t>
      </w:r>
      <w:proofErr w:type="spellEnd"/>
      <w:r w:rsidRPr="00DC6245">
        <w:rPr>
          <w:rFonts w:asciiTheme="majorHAnsi" w:hAnsiTheme="majorHAnsi"/>
          <w:b/>
          <w:bCs/>
        </w:rPr>
        <w:t>“-Becher</w:t>
      </w:r>
    </w:p>
    <w:p w14:paraId="64AE6941" w14:textId="0111B48F" w:rsidR="00DC6245" w:rsidRPr="00DC6245" w:rsidRDefault="00DC6245" w:rsidP="00DC6245">
      <w:pPr>
        <w:spacing w:line="360" w:lineRule="auto"/>
        <w:rPr>
          <w:rFonts w:asciiTheme="majorHAnsi" w:hAnsiTheme="majorHAnsi"/>
        </w:rPr>
      </w:pPr>
      <w:r w:rsidRPr="00DC6245">
        <w:rPr>
          <w:rFonts w:asciiTheme="majorHAnsi" w:hAnsiTheme="majorHAnsi"/>
        </w:rPr>
        <w:t>Der „Coffee-</w:t>
      </w:r>
      <w:proofErr w:type="spellStart"/>
      <w:r w:rsidRPr="00DC6245">
        <w:rPr>
          <w:rFonts w:asciiTheme="majorHAnsi" w:hAnsiTheme="majorHAnsi"/>
        </w:rPr>
        <w:t>to</w:t>
      </w:r>
      <w:proofErr w:type="spellEnd"/>
      <w:r w:rsidRPr="00DC6245">
        <w:rPr>
          <w:rFonts w:asciiTheme="majorHAnsi" w:hAnsiTheme="majorHAnsi"/>
        </w:rPr>
        <w:t>-</w:t>
      </w:r>
      <w:proofErr w:type="spellStart"/>
      <w:r w:rsidRPr="00DC6245">
        <w:rPr>
          <w:rFonts w:asciiTheme="majorHAnsi" w:hAnsiTheme="majorHAnsi"/>
        </w:rPr>
        <w:t>go</w:t>
      </w:r>
      <w:proofErr w:type="spellEnd"/>
      <w:r w:rsidRPr="00DC6245">
        <w:rPr>
          <w:rFonts w:asciiTheme="majorHAnsi" w:hAnsiTheme="majorHAnsi"/>
        </w:rPr>
        <w:t xml:space="preserve">“-Becher ist doch aus Pappe, oder nicht? Das stimmt nur zum Teil. Damit er </w:t>
      </w:r>
      <w:r w:rsidR="006401AB" w:rsidRPr="00DC6245">
        <w:rPr>
          <w:rFonts w:asciiTheme="majorHAnsi" w:hAnsiTheme="majorHAnsi"/>
        </w:rPr>
        <w:t>dichthält</w:t>
      </w:r>
      <w:r w:rsidRPr="00DC6245">
        <w:rPr>
          <w:rFonts w:asciiTheme="majorHAnsi" w:hAnsiTheme="majorHAnsi"/>
        </w:rPr>
        <w:t xml:space="preserve">, ist er innen mit Kunststoff beschichtet. Beschichtete Pappbecher gelten als Verbundverpackung, da sie aus mehreren Materialien bestehen. Verbundverpackungen gehören in die Gelbe Tonne oder den Gelben Sack. </w:t>
      </w:r>
    </w:p>
    <w:p w14:paraId="25FFD048" w14:textId="77777777" w:rsidR="00DC6245" w:rsidRPr="00DC6245" w:rsidRDefault="00DC6245" w:rsidP="00DC6245">
      <w:pPr>
        <w:spacing w:line="360" w:lineRule="auto"/>
        <w:rPr>
          <w:rFonts w:asciiTheme="majorHAnsi" w:hAnsiTheme="majorHAnsi"/>
        </w:rPr>
      </w:pPr>
      <w:r w:rsidRPr="00DC6245">
        <w:rPr>
          <w:rFonts w:asciiTheme="majorHAnsi" w:hAnsiTheme="majorHAnsi"/>
        </w:rPr>
        <w:t>Gebrauchte „Coffee-</w:t>
      </w:r>
      <w:proofErr w:type="spellStart"/>
      <w:r w:rsidRPr="00DC6245">
        <w:rPr>
          <w:rFonts w:asciiTheme="majorHAnsi" w:hAnsiTheme="majorHAnsi"/>
        </w:rPr>
        <w:t>to</w:t>
      </w:r>
      <w:proofErr w:type="spellEnd"/>
      <w:r w:rsidRPr="00DC6245">
        <w:rPr>
          <w:rFonts w:asciiTheme="majorHAnsi" w:hAnsiTheme="majorHAnsi"/>
        </w:rPr>
        <w:t>-</w:t>
      </w:r>
      <w:proofErr w:type="spellStart"/>
      <w:r w:rsidRPr="00DC6245">
        <w:rPr>
          <w:rFonts w:asciiTheme="majorHAnsi" w:hAnsiTheme="majorHAnsi"/>
        </w:rPr>
        <w:t>go</w:t>
      </w:r>
      <w:proofErr w:type="spellEnd"/>
      <w:r w:rsidRPr="00DC6245">
        <w:rPr>
          <w:rFonts w:asciiTheme="majorHAnsi" w:hAnsiTheme="majorHAnsi"/>
        </w:rPr>
        <w:t>“-Becher richtig entsorgen:</w:t>
      </w:r>
    </w:p>
    <w:p w14:paraId="61E62DA0" w14:textId="77777777" w:rsidR="00DC6245" w:rsidRPr="00DC6245" w:rsidRDefault="00DC6245" w:rsidP="00DC6245">
      <w:pPr>
        <w:numPr>
          <w:ilvl w:val="0"/>
          <w:numId w:val="1"/>
        </w:numPr>
        <w:spacing w:line="360" w:lineRule="auto"/>
        <w:rPr>
          <w:rFonts w:asciiTheme="majorHAnsi" w:hAnsiTheme="majorHAnsi"/>
        </w:rPr>
      </w:pPr>
      <w:r w:rsidRPr="00DC6245">
        <w:rPr>
          <w:rFonts w:asciiTheme="majorHAnsi" w:hAnsiTheme="majorHAnsi"/>
        </w:rPr>
        <w:t>Becher: ohne Getränkereste in die Gelbe Tonne oder den Gelben Sack</w:t>
      </w:r>
    </w:p>
    <w:p w14:paraId="56713A4D" w14:textId="77777777" w:rsidR="00DC6245" w:rsidRPr="00DC6245" w:rsidRDefault="00DC6245" w:rsidP="00DC6245">
      <w:pPr>
        <w:numPr>
          <w:ilvl w:val="0"/>
          <w:numId w:val="1"/>
        </w:numPr>
        <w:spacing w:line="360" w:lineRule="auto"/>
        <w:rPr>
          <w:rFonts w:asciiTheme="majorHAnsi" w:hAnsiTheme="majorHAnsi"/>
        </w:rPr>
      </w:pPr>
      <w:r w:rsidRPr="00DC6245">
        <w:rPr>
          <w:rFonts w:asciiTheme="majorHAnsi" w:hAnsiTheme="majorHAnsi"/>
        </w:rPr>
        <w:t>Kunststoffdeckel: in die Gelbe Tonne oder den Gelben Sack</w:t>
      </w:r>
    </w:p>
    <w:p w14:paraId="50D67A62" w14:textId="77777777" w:rsidR="00DC6245" w:rsidRPr="00DC6245" w:rsidRDefault="00DC6245" w:rsidP="00DC6245">
      <w:pPr>
        <w:numPr>
          <w:ilvl w:val="0"/>
          <w:numId w:val="1"/>
        </w:numPr>
        <w:spacing w:line="360" w:lineRule="auto"/>
        <w:rPr>
          <w:rFonts w:asciiTheme="majorHAnsi" w:hAnsiTheme="majorHAnsi"/>
        </w:rPr>
      </w:pPr>
      <w:r w:rsidRPr="00DC6245">
        <w:rPr>
          <w:rFonts w:asciiTheme="majorHAnsi" w:hAnsiTheme="majorHAnsi"/>
        </w:rPr>
        <w:t>Papierbanderole oder Pappmanschette: in die Altpapiertonne</w:t>
      </w:r>
    </w:p>
    <w:p w14:paraId="4F21D658" w14:textId="77777777" w:rsidR="00DC6245" w:rsidRPr="00DC6245" w:rsidRDefault="00DC6245" w:rsidP="00DC6245">
      <w:pPr>
        <w:numPr>
          <w:ilvl w:val="0"/>
          <w:numId w:val="1"/>
        </w:numPr>
        <w:spacing w:line="360" w:lineRule="auto"/>
        <w:rPr>
          <w:rFonts w:asciiTheme="majorHAnsi" w:hAnsiTheme="majorHAnsi"/>
        </w:rPr>
      </w:pPr>
      <w:r w:rsidRPr="00DC6245">
        <w:rPr>
          <w:rFonts w:asciiTheme="majorHAnsi" w:hAnsiTheme="majorHAnsi"/>
        </w:rPr>
        <w:t>Rührstäbchen aus Holz: in den Restmüll</w:t>
      </w:r>
    </w:p>
    <w:p w14:paraId="6028D884" w14:textId="77777777" w:rsidR="00DC6245" w:rsidRPr="00DC6245" w:rsidRDefault="00DC6245" w:rsidP="00DC6245">
      <w:pPr>
        <w:spacing w:line="360" w:lineRule="auto"/>
        <w:rPr>
          <w:rFonts w:asciiTheme="majorHAnsi" w:hAnsiTheme="majorHAnsi"/>
        </w:rPr>
      </w:pPr>
    </w:p>
    <w:p w14:paraId="1A072509" w14:textId="77777777" w:rsidR="00DC6245" w:rsidRPr="00DC6245" w:rsidRDefault="00DC6245" w:rsidP="00DC6245">
      <w:pPr>
        <w:spacing w:line="360" w:lineRule="auto"/>
        <w:rPr>
          <w:rFonts w:asciiTheme="majorHAnsi" w:hAnsiTheme="majorHAnsi"/>
          <w:b/>
          <w:bCs/>
        </w:rPr>
      </w:pPr>
      <w:r w:rsidRPr="00DC6245">
        <w:rPr>
          <w:rFonts w:asciiTheme="majorHAnsi" w:hAnsiTheme="majorHAnsi"/>
          <w:b/>
          <w:bCs/>
        </w:rPr>
        <w:t>Tortenkartons und Papptabletts: auf die Beschichtung kommt es an</w:t>
      </w:r>
    </w:p>
    <w:p w14:paraId="1F247F05" w14:textId="2BACC214" w:rsidR="00DC6245" w:rsidRPr="00DC6245" w:rsidRDefault="00DC6245" w:rsidP="00DC6245">
      <w:pPr>
        <w:spacing w:line="360" w:lineRule="auto"/>
        <w:rPr>
          <w:rFonts w:asciiTheme="majorHAnsi" w:hAnsiTheme="majorHAnsi"/>
        </w:rPr>
      </w:pPr>
      <w:r w:rsidRPr="00DC6245">
        <w:rPr>
          <w:rFonts w:asciiTheme="majorHAnsi" w:hAnsiTheme="majorHAnsi"/>
        </w:rPr>
        <w:t>Die Sonntagstorte ist sicher nach Hause balanciert? Der Tortenkarton ist zwar aus Pappe, gehört aber nicht immer ins Altpapier. Denn auch Kartonverpackungen für cremige Torten und feuchte Kuchen können innen mit Kunststoff überzogen sein. Diese beschichteten Verpackungen gehören in die Gelbe Tonne oder den Gelben Sack – aber bitte ohne Kuchenreste. Dorthin gehören auch fettdichte oder beschichtete Trennpapiere sowie Kunststofffolien, die verhindern, dass zum Beispiel Schwarzwälder Kirschtorte mit Käsesahnetorte zusammenklebt.</w:t>
      </w:r>
    </w:p>
    <w:p w14:paraId="5629B7DC" w14:textId="77777777" w:rsidR="00DC6245" w:rsidRPr="00DC6245" w:rsidRDefault="00DC6245" w:rsidP="00DC6245">
      <w:pPr>
        <w:spacing w:line="360" w:lineRule="auto"/>
        <w:rPr>
          <w:rFonts w:asciiTheme="majorHAnsi" w:hAnsiTheme="majorHAnsi"/>
        </w:rPr>
      </w:pPr>
      <w:r w:rsidRPr="00DC6245">
        <w:rPr>
          <w:rFonts w:asciiTheme="majorHAnsi" w:hAnsiTheme="majorHAnsi"/>
        </w:rPr>
        <w:t>Ist die Kartonverpackung unbeschichtet und komplett leer, darf sie ins Altpapier. Das Gleiche gilt für Papptabletts und Einschlagpapier. Allerdings: Papierservietten dürfen nicht ins Altpapier, sondern müssen im Restmüll entsorgt werden.</w:t>
      </w:r>
    </w:p>
    <w:p w14:paraId="340DA7A2" w14:textId="77777777" w:rsidR="003D57AF" w:rsidRDefault="003D57AF" w:rsidP="00DC6245">
      <w:pPr>
        <w:spacing w:line="360" w:lineRule="auto"/>
        <w:rPr>
          <w:rFonts w:asciiTheme="majorHAnsi" w:hAnsiTheme="majorHAnsi"/>
        </w:rPr>
      </w:pPr>
    </w:p>
    <w:p w14:paraId="067E15F1" w14:textId="77777777" w:rsidR="003D57AF" w:rsidRDefault="003D57AF" w:rsidP="00DC6245">
      <w:pPr>
        <w:spacing w:line="360" w:lineRule="auto"/>
        <w:rPr>
          <w:rFonts w:asciiTheme="majorHAnsi" w:hAnsiTheme="majorHAnsi"/>
        </w:rPr>
      </w:pPr>
    </w:p>
    <w:p w14:paraId="150CFFAF" w14:textId="77777777" w:rsidR="003D57AF" w:rsidRDefault="003D57AF" w:rsidP="00DC6245">
      <w:pPr>
        <w:spacing w:line="360" w:lineRule="auto"/>
        <w:rPr>
          <w:rFonts w:asciiTheme="majorHAnsi" w:hAnsiTheme="majorHAnsi"/>
        </w:rPr>
      </w:pPr>
    </w:p>
    <w:p w14:paraId="449F3BC7" w14:textId="2E1C76F9" w:rsidR="00DC6245" w:rsidRPr="00DC6245" w:rsidRDefault="00DC6245" w:rsidP="00DC6245">
      <w:pPr>
        <w:spacing w:line="360" w:lineRule="auto"/>
        <w:rPr>
          <w:rFonts w:asciiTheme="majorHAnsi" w:hAnsiTheme="majorHAnsi"/>
          <w:b/>
          <w:bCs/>
        </w:rPr>
      </w:pPr>
      <w:r w:rsidRPr="00DC6245">
        <w:rPr>
          <w:rFonts w:asciiTheme="majorHAnsi" w:hAnsiTheme="majorHAnsi"/>
          <w:b/>
          <w:bCs/>
        </w:rPr>
        <w:lastRenderedPageBreak/>
        <w:t xml:space="preserve">Eine gute Alternative: </w:t>
      </w:r>
      <w:proofErr w:type="spellStart"/>
      <w:r w:rsidRPr="00DC6245">
        <w:rPr>
          <w:rFonts w:asciiTheme="majorHAnsi" w:hAnsiTheme="majorHAnsi"/>
          <w:b/>
          <w:bCs/>
        </w:rPr>
        <w:t>Mehrweg</w:t>
      </w:r>
      <w:proofErr w:type="spellEnd"/>
    </w:p>
    <w:p w14:paraId="2BC51DE8" w14:textId="77777777" w:rsidR="00DC6245" w:rsidRPr="00DC6245" w:rsidRDefault="00DC6245" w:rsidP="00DC6245">
      <w:pPr>
        <w:spacing w:line="360" w:lineRule="auto"/>
        <w:rPr>
          <w:rFonts w:asciiTheme="majorHAnsi" w:hAnsiTheme="majorHAnsi"/>
        </w:rPr>
      </w:pPr>
      <w:r w:rsidRPr="00DC6245">
        <w:rPr>
          <w:rFonts w:asciiTheme="majorHAnsi" w:hAnsiTheme="majorHAnsi"/>
        </w:rPr>
        <w:t>Nachhaltiger ist es, Verpackungen auch beim Einkauf in der Bäckerei möglichst zu vermeiden. Denn es gibt Alternativen: Mehrwegsysteme mit Pfand, eigene Mehrwegbecher oder Brotbeutel.</w:t>
      </w:r>
    </w:p>
    <w:p w14:paraId="32573BEE" w14:textId="77777777" w:rsidR="00DC6245" w:rsidRDefault="00DC6245" w:rsidP="00DC6245">
      <w:pPr>
        <w:spacing w:line="360" w:lineRule="auto"/>
        <w:rPr>
          <w:rFonts w:asciiTheme="majorHAnsi" w:hAnsiTheme="majorHAnsi"/>
        </w:rPr>
      </w:pPr>
    </w:p>
    <w:p w14:paraId="0F0F920B" w14:textId="38D74A2C" w:rsidR="00B618E6" w:rsidRDefault="00B618E6" w:rsidP="00DC6245">
      <w:pPr>
        <w:spacing w:line="360" w:lineRule="auto"/>
        <w:rPr>
          <w:rFonts w:asciiTheme="majorHAnsi" w:hAnsiTheme="majorHAnsi"/>
        </w:rPr>
      </w:pPr>
      <w:r>
        <w:rPr>
          <w:rFonts w:asciiTheme="majorHAnsi" w:hAnsiTheme="majorHAnsi"/>
        </w:rPr>
        <w:t>Bildtext:</w:t>
      </w:r>
    </w:p>
    <w:p w14:paraId="19383F29" w14:textId="52BB3D4B" w:rsidR="00B618E6" w:rsidRDefault="00B618E6" w:rsidP="00DC6245">
      <w:pPr>
        <w:spacing w:line="360" w:lineRule="auto"/>
        <w:rPr>
          <w:rFonts w:asciiTheme="majorHAnsi" w:hAnsiTheme="majorHAnsi"/>
        </w:rPr>
      </w:pPr>
      <w:r w:rsidRPr="00B618E6">
        <w:rPr>
          <w:rFonts w:asciiTheme="majorHAnsi" w:hAnsiTheme="majorHAnsi"/>
        </w:rPr>
        <w:t>Coffee-</w:t>
      </w:r>
      <w:proofErr w:type="spellStart"/>
      <w:r w:rsidRPr="00B618E6">
        <w:rPr>
          <w:rFonts w:asciiTheme="majorHAnsi" w:hAnsiTheme="majorHAnsi"/>
        </w:rPr>
        <w:t>to</w:t>
      </w:r>
      <w:proofErr w:type="spellEnd"/>
      <w:r w:rsidRPr="00B618E6">
        <w:rPr>
          <w:rFonts w:asciiTheme="majorHAnsi" w:hAnsiTheme="majorHAnsi"/>
        </w:rPr>
        <w:t>-</w:t>
      </w:r>
      <w:proofErr w:type="spellStart"/>
      <w:r w:rsidRPr="00B618E6">
        <w:rPr>
          <w:rFonts w:asciiTheme="majorHAnsi" w:hAnsiTheme="majorHAnsi"/>
        </w:rPr>
        <w:t>go</w:t>
      </w:r>
      <w:proofErr w:type="spellEnd"/>
      <w:r w:rsidRPr="00B618E6">
        <w:rPr>
          <w:rFonts w:asciiTheme="majorHAnsi" w:hAnsiTheme="majorHAnsi"/>
        </w:rPr>
        <w:t>-Becher, Brötchentüte &amp; Co. richtig entsorgen – und die Umwelt schonen.</w:t>
      </w:r>
    </w:p>
    <w:p w14:paraId="51947EDC" w14:textId="118A2FD2" w:rsidR="00B618E6" w:rsidRPr="00DC6245" w:rsidRDefault="00B618E6" w:rsidP="00DC6245">
      <w:pPr>
        <w:spacing w:line="360" w:lineRule="auto"/>
        <w:rPr>
          <w:rFonts w:asciiTheme="majorHAnsi" w:hAnsiTheme="majorHAnsi"/>
        </w:rPr>
      </w:pPr>
      <w:proofErr w:type="spellStart"/>
      <w:r>
        <w:rPr>
          <w:rFonts w:asciiTheme="majorHAnsi" w:hAnsiTheme="majorHAnsi"/>
        </w:rPr>
        <w:t>Fotocredit</w:t>
      </w:r>
      <w:proofErr w:type="spellEnd"/>
      <w:r>
        <w:rPr>
          <w:rFonts w:asciiTheme="majorHAnsi" w:hAnsiTheme="majorHAnsi"/>
        </w:rPr>
        <w:t xml:space="preserve">: </w:t>
      </w:r>
      <w:r w:rsidRPr="00B618E6">
        <w:rPr>
          <w:rFonts w:asciiTheme="majorHAnsi" w:hAnsiTheme="majorHAnsi"/>
        </w:rPr>
        <w:t>Initiative „Mülltrennung wirkt“/Marcella Merk</w:t>
      </w:r>
    </w:p>
    <w:sectPr w:rsidR="00B618E6" w:rsidRPr="00DC62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C5CB4" w14:textId="77777777" w:rsidR="003C3570" w:rsidRDefault="003C3570" w:rsidP="00DC6245">
      <w:pPr>
        <w:spacing w:after="0" w:line="240" w:lineRule="auto"/>
      </w:pPr>
      <w:r>
        <w:separator/>
      </w:r>
    </w:p>
  </w:endnote>
  <w:endnote w:type="continuationSeparator" w:id="0">
    <w:p w14:paraId="1CEC9D95" w14:textId="77777777" w:rsidR="003C3570" w:rsidRDefault="003C3570" w:rsidP="00DC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A1B77" w14:textId="77777777" w:rsidR="003C3570" w:rsidRDefault="003C3570" w:rsidP="00DC6245">
      <w:pPr>
        <w:spacing w:after="0" w:line="240" w:lineRule="auto"/>
      </w:pPr>
      <w:r>
        <w:separator/>
      </w:r>
    </w:p>
  </w:footnote>
  <w:footnote w:type="continuationSeparator" w:id="0">
    <w:p w14:paraId="42E5A35B" w14:textId="77777777" w:rsidR="003C3570" w:rsidRDefault="003C3570" w:rsidP="00DC62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4A83"/>
    <w:multiLevelType w:val="hybridMultilevel"/>
    <w:tmpl w:val="7530564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1227569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245"/>
    <w:rsid w:val="00044487"/>
    <w:rsid w:val="00090D78"/>
    <w:rsid w:val="001A12D5"/>
    <w:rsid w:val="002143F1"/>
    <w:rsid w:val="003C3570"/>
    <w:rsid w:val="003D57AF"/>
    <w:rsid w:val="00583F15"/>
    <w:rsid w:val="00634772"/>
    <w:rsid w:val="006401AB"/>
    <w:rsid w:val="00B618E6"/>
    <w:rsid w:val="00C56704"/>
    <w:rsid w:val="00C9090F"/>
    <w:rsid w:val="00DC6245"/>
    <w:rsid w:val="00EB2762"/>
    <w:rsid w:val="00F316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26630"/>
  <w15:chartTrackingRefBased/>
  <w15:docId w15:val="{5F7C2D42-BE79-4258-ACB2-40A5254DB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C62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C62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C624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C624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C624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C624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C624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C624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C624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C624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C624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C624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C624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C624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C624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C624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C624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C6245"/>
    <w:rPr>
      <w:rFonts w:eastAsiaTheme="majorEastAsia" w:cstheme="majorBidi"/>
      <w:color w:val="272727" w:themeColor="text1" w:themeTint="D8"/>
    </w:rPr>
  </w:style>
  <w:style w:type="paragraph" w:styleId="Titel">
    <w:name w:val="Title"/>
    <w:basedOn w:val="Standard"/>
    <w:next w:val="Standard"/>
    <w:link w:val="TitelZchn"/>
    <w:uiPriority w:val="10"/>
    <w:qFormat/>
    <w:rsid w:val="00DC62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C624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C624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C624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C624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C6245"/>
    <w:rPr>
      <w:i/>
      <w:iCs/>
      <w:color w:val="404040" w:themeColor="text1" w:themeTint="BF"/>
    </w:rPr>
  </w:style>
  <w:style w:type="paragraph" w:styleId="Listenabsatz">
    <w:name w:val="List Paragraph"/>
    <w:basedOn w:val="Standard"/>
    <w:uiPriority w:val="34"/>
    <w:qFormat/>
    <w:rsid w:val="00DC6245"/>
    <w:pPr>
      <w:ind w:left="720"/>
      <w:contextualSpacing/>
    </w:pPr>
  </w:style>
  <w:style w:type="character" w:styleId="IntensiveHervorhebung">
    <w:name w:val="Intense Emphasis"/>
    <w:basedOn w:val="Absatz-Standardschriftart"/>
    <w:uiPriority w:val="21"/>
    <w:qFormat/>
    <w:rsid w:val="00DC6245"/>
    <w:rPr>
      <w:i/>
      <w:iCs/>
      <w:color w:val="0F4761" w:themeColor="accent1" w:themeShade="BF"/>
    </w:rPr>
  </w:style>
  <w:style w:type="paragraph" w:styleId="IntensivesZitat">
    <w:name w:val="Intense Quote"/>
    <w:basedOn w:val="Standard"/>
    <w:next w:val="Standard"/>
    <w:link w:val="IntensivesZitatZchn"/>
    <w:uiPriority w:val="30"/>
    <w:qFormat/>
    <w:rsid w:val="00DC62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C6245"/>
    <w:rPr>
      <w:i/>
      <w:iCs/>
      <w:color w:val="0F4761" w:themeColor="accent1" w:themeShade="BF"/>
    </w:rPr>
  </w:style>
  <w:style w:type="character" w:styleId="IntensiverVerweis">
    <w:name w:val="Intense Reference"/>
    <w:basedOn w:val="Absatz-Standardschriftart"/>
    <w:uiPriority w:val="32"/>
    <w:qFormat/>
    <w:rsid w:val="00DC6245"/>
    <w:rPr>
      <w:b/>
      <w:bCs/>
      <w:smallCaps/>
      <w:color w:val="0F4761" w:themeColor="accent1" w:themeShade="BF"/>
      <w:spacing w:val="5"/>
    </w:rPr>
  </w:style>
  <w:style w:type="character" w:styleId="Hyperlink">
    <w:name w:val="Hyperlink"/>
    <w:basedOn w:val="Absatz-Standardschriftart"/>
    <w:uiPriority w:val="99"/>
    <w:semiHidden/>
    <w:unhideWhenUsed/>
    <w:rsid w:val="00DC6245"/>
    <w:rPr>
      <w:b/>
      <w:bCs w:val="0"/>
      <w:strike w:val="0"/>
      <w:dstrike w:val="0"/>
      <w:color w:val="467886" w:themeColor="hyperlink"/>
      <w:u w:val="none"/>
      <w:effect w:val="none"/>
    </w:rPr>
  </w:style>
  <w:style w:type="paragraph" w:styleId="Funotentext">
    <w:name w:val="footnote text"/>
    <w:basedOn w:val="Standard"/>
    <w:link w:val="FunotentextZchn"/>
    <w:uiPriority w:val="99"/>
    <w:semiHidden/>
    <w:unhideWhenUsed/>
    <w:rsid w:val="00DC6245"/>
    <w:pPr>
      <w:spacing w:after="0" w:line="240" w:lineRule="auto"/>
    </w:pPr>
    <w:rPr>
      <w:rFonts w:eastAsiaTheme="minorEastAsia"/>
      <w:kern w:val="0"/>
      <w:sz w:val="20"/>
      <w:szCs w:val="20"/>
      <w:lang w:eastAsia="zh-CN"/>
      <w14:ligatures w14:val="none"/>
    </w:rPr>
  </w:style>
  <w:style w:type="character" w:customStyle="1" w:styleId="FunotentextZchn">
    <w:name w:val="Fußnotentext Zchn"/>
    <w:basedOn w:val="Absatz-Standardschriftart"/>
    <w:link w:val="Funotentext"/>
    <w:uiPriority w:val="99"/>
    <w:semiHidden/>
    <w:rsid w:val="00DC6245"/>
    <w:rPr>
      <w:rFonts w:eastAsiaTheme="minorEastAsia"/>
      <w:kern w:val="0"/>
      <w:sz w:val="20"/>
      <w:szCs w:val="20"/>
      <w:lang w:eastAsia="zh-CN"/>
      <w14:ligatures w14:val="none"/>
    </w:rPr>
  </w:style>
  <w:style w:type="character" w:styleId="Funotenzeichen">
    <w:name w:val="footnote reference"/>
    <w:basedOn w:val="Absatz-Standardschriftart"/>
    <w:uiPriority w:val="99"/>
    <w:semiHidden/>
    <w:unhideWhenUsed/>
    <w:rsid w:val="00DC62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623</Words>
  <Characters>3931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Dahmen Ulf</dc:creator>
  <cp:keywords/>
  <dc:description/>
  <cp:lastModifiedBy>Anne Meyer</cp:lastModifiedBy>
  <cp:revision>4</cp:revision>
  <dcterms:created xsi:type="dcterms:W3CDTF">2026-06-11T14:25:00Z</dcterms:created>
  <dcterms:modified xsi:type="dcterms:W3CDTF">2026-07-03T11:52:00Z</dcterms:modified>
</cp:coreProperties>
</file>